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jc w:val="center"/>
        <w:rPr>
          <w:rFonts w:hint="eastAsia" w:ascii="仿宋_GB2312" w:hAnsi="仿宋_GB2312" w:eastAsia="仿宋_GB2312" w:cs="仿宋_GB2312"/>
          <w:b/>
          <w:bCs/>
          <w:sz w:val="36"/>
          <w:szCs w:val="36"/>
        </w:rPr>
      </w:pPr>
      <w:r>
        <w:rPr>
          <w:rFonts w:hint="eastAsia" w:ascii="仿宋_GB2312" w:hAnsi="仿宋_GB2312" w:eastAsia="仿宋_GB2312" w:cs="仿宋_GB2312"/>
          <w:b/>
          <w:bCs/>
          <w:sz w:val="36"/>
          <w:szCs w:val="36"/>
          <w:lang w:eastAsia="zh-CN"/>
        </w:rPr>
        <w:t>2023年锅炉磨煤机传动盘修复采购文件</w:t>
      </w:r>
    </w:p>
    <w:p>
      <w:pPr>
        <w:rPr>
          <w:rFonts w:hint="eastAsia" w:asciiTheme="majorEastAsia" w:hAnsiTheme="majorEastAsia" w:eastAsiaTheme="majorEastAsia" w:cstheme="majorEastAsia"/>
          <w:sz w:val="24"/>
          <w:szCs w:val="24"/>
          <w:lang w:val="en-US" w:eastAsia="zh-CN"/>
        </w:rPr>
      </w:pPr>
    </w:p>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服务地点：包头东华热电有限公司</w:t>
      </w:r>
    </w:p>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计划工期：每台磨煤机下架体传动轴检修期</w:t>
      </w:r>
      <w:r>
        <w:rPr>
          <w:rFonts w:hint="eastAsia" w:ascii="仿宋_GB2312" w:hAnsi="仿宋_GB2312" w:eastAsia="仿宋_GB2312" w:cs="仿宋_GB2312"/>
          <w:sz w:val="24"/>
          <w:szCs w:val="24"/>
          <w:u w:val="single"/>
          <w:lang w:val="en-US" w:eastAsia="zh-CN"/>
        </w:rPr>
        <w:t xml:space="preserve"> 5</w:t>
      </w:r>
      <w:r>
        <w:rPr>
          <w:rFonts w:hint="eastAsia" w:ascii="仿宋_GB2312" w:hAnsi="仿宋_GB2312" w:eastAsia="仿宋_GB2312" w:cs="仿宋_GB2312"/>
          <w:sz w:val="24"/>
          <w:szCs w:val="24"/>
          <w:lang w:val="en-US" w:eastAsia="zh-CN"/>
        </w:rPr>
        <w:t>天内完成。</w:t>
      </w:r>
    </w:p>
    <w:p>
      <w:pP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报价单位资质、业绩(业绩证明材料以合同或中标通知书为准)要求：无。</w:t>
      </w:r>
    </w:p>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服务范围及内容：</w:t>
      </w:r>
    </w:p>
    <w:p>
      <w:pPr>
        <w:rPr>
          <w:rFonts w:hint="eastAsia"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val="zh-CN" w:eastAsia="zh-CN"/>
        </w:rPr>
        <w:t>1、传动轴尺寸φ</w:t>
      </w:r>
      <w:r>
        <w:rPr>
          <w:rFonts w:hint="eastAsia" w:ascii="宋体" w:hAnsi="宋体" w:eastAsia="宋体" w:cs="宋体"/>
          <w:color w:val="000000"/>
          <w:sz w:val="21"/>
          <w:szCs w:val="21"/>
          <w:lang w:val="zh-CN"/>
        </w:rPr>
        <w:t>φ1530</w:t>
      </w:r>
      <w:r>
        <w:rPr>
          <w:rFonts w:hint="eastAsia" w:ascii="仿宋_GB2312" w:hAnsi="仿宋_GB2312" w:eastAsia="仿宋_GB2312" w:cs="仿宋_GB2312"/>
          <w:sz w:val="24"/>
          <w:szCs w:val="24"/>
          <w:lang w:val="zh-CN" w:eastAsia="zh-CN"/>
        </w:rPr>
        <w:t>mm，轴高1200mm，磨损高度为</w:t>
      </w:r>
      <w:r>
        <w:rPr>
          <w:rFonts w:hint="eastAsia" w:ascii="仿宋_GB2312" w:hAnsi="仿宋_GB2312" w:eastAsia="仿宋_GB2312" w:cs="仿宋_GB2312"/>
          <w:sz w:val="24"/>
          <w:szCs w:val="24"/>
          <w:lang w:val="en-US" w:eastAsia="zh-CN"/>
        </w:rPr>
        <w:t>8</w:t>
      </w:r>
      <w:r>
        <w:rPr>
          <w:rFonts w:hint="eastAsia" w:ascii="仿宋_GB2312" w:hAnsi="仿宋_GB2312" w:eastAsia="仿宋_GB2312" w:cs="仿宋_GB2312"/>
          <w:sz w:val="24"/>
          <w:szCs w:val="24"/>
          <w:lang w:val="zh-CN" w:eastAsia="zh-CN"/>
        </w:rPr>
        <w:t>0-1</w:t>
      </w:r>
      <w:r>
        <w:rPr>
          <w:rFonts w:hint="eastAsia" w:ascii="仿宋_GB2312" w:hAnsi="仿宋_GB2312" w:eastAsia="仿宋_GB2312" w:cs="仿宋_GB2312"/>
          <w:sz w:val="24"/>
          <w:szCs w:val="24"/>
          <w:lang w:val="en-US" w:eastAsia="zh-CN"/>
        </w:rPr>
        <w:t>0</w:t>
      </w:r>
      <w:r>
        <w:rPr>
          <w:rFonts w:hint="eastAsia" w:ascii="仿宋_GB2312" w:hAnsi="仿宋_GB2312" w:eastAsia="仿宋_GB2312" w:cs="仿宋_GB2312"/>
          <w:sz w:val="24"/>
          <w:szCs w:val="24"/>
          <w:lang w:val="zh-CN" w:eastAsia="zh-CN"/>
        </w:rPr>
        <w:t>0mm,磨损深度</w:t>
      </w:r>
    </w:p>
    <w:p>
      <w:pPr>
        <w:rPr>
          <w:rFonts w:hint="eastAsia"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val="en-US" w:eastAsia="zh-CN"/>
        </w:rPr>
        <w:t>2-10</w:t>
      </w:r>
      <w:r>
        <w:rPr>
          <w:rFonts w:hint="eastAsia" w:ascii="仿宋_GB2312" w:hAnsi="仿宋_GB2312" w:eastAsia="仿宋_GB2312" w:cs="仿宋_GB2312"/>
          <w:sz w:val="24"/>
          <w:szCs w:val="24"/>
          <w:lang w:val="zh-CN" w:eastAsia="zh-CN"/>
        </w:rPr>
        <w:t>mm；补焊修复。</w:t>
      </w:r>
    </w:p>
    <w:p>
      <w:pPr>
        <w:rPr>
          <w:rFonts w:hint="eastAsia"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val="zh-CN" w:eastAsia="zh-CN"/>
        </w:rPr>
        <w:t>2、装卸及往返运输由应答方负责。</w:t>
      </w:r>
    </w:p>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服务标准或依据：</w:t>
      </w:r>
      <w:r>
        <w:rPr>
          <w:rFonts w:hint="eastAsia" w:ascii="仿宋_GB2312" w:hAnsi="仿宋_GB2312" w:eastAsia="仿宋_GB2312" w:cs="仿宋_GB2312"/>
          <w:sz w:val="24"/>
          <w:szCs w:val="24"/>
          <w:lang w:val="zh-CN" w:eastAsia="zh-CN"/>
        </w:rPr>
        <w:t>现场测量、施工、修复、安装、达到实物尺寸和精度；要求补焊时打光谱确认材质及车削、打磨时主轴不产生弯曲、变形等缺陷，否则所有损失由乙方负责赔偿；修复后主轴达到加工精度及材质与原材质一致满足密封条件表面光滑、无裂纹、气孔等现象。</w:t>
      </w:r>
    </w:p>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验收方式：设备维护部、生产技术部进行三级验收。</w:t>
      </w:r>
    </w:p>
    <w:p>
      <w:pP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付款方式：验收合格支付工程价款结算总额的97%，质保期结束后支付3%</w:t>
      </w:r>
    </w:p>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考核扣款：详见技术规范书 </w:t>
      </w:r>
    </w:p>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结算方式：固定单价</w:t>
      </w:r>
    </w:p>
    <w:p>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pacing w:val="10"/>
          <w:sz w:val="24"/>
          <w:szCs w:val="24"/>
          <w:lang w:val="en-US" w:eastAsia="zh-CN"/>
        </w:rPr>
        <w:t>最高限价：</w:t>
      </w:r>
      <w:r>
        <w:rPr>
          <w:rFonts w:hint="eastAsia" w:ascii="仿宋_GB2312" w:hAnsi="仿宋_GB2312" w:eastAsia="仿宋_GB2312" w:cs="仿宋_GB2312"/>
          <w:spacing w:val="10"/>
          <w:sz w:val="24"/>
          <w:szCs w:val="24"/>
          <w:u w:val="single"/>
          <w:lang w:val="en-US" w:eastAsia="zh-CN"/>
        </w:rPr>
        <w:t xml:space="preserve"> /</w:t>
      </w:r>
      <w:r>
        <w:rPr>
          <w:rFonts w:hint="eastAsia" w:ascii="仿宋_GB2312" w:hAnsi="仿宋_GB2312" w:eastAsia="仿宋_GB2312" w:cs="仿宋_GB2312"/>
          <w:spacing w:val="10"/>
          <w:sz w:val="24"/>
          <w:szCs w:val="24"/>
          <w:lang w:val="en-US" w:eastAsia="zh-CN"/>
        </w:rPr>
        <w:t>元</w:t>
      </w:r>
      <w:r>
        <w:rPr>
          <w:rFonts w:hint="eastAsia" w:ascii="仿宋_GB2312" w:hAnsi="仿宋_GB2312" w:eastAsia="仿宋_GB2312" w:cs="仿宋_GB2312"/>
          <w:b/>
          <w:bCs/>
          <w:spacing w:val="10"/>
          <w:sz w:val="24"/>
          <w:szCs w:val="24"/>
          <w:lang w:val="en-US" w:eastAsia="zh-CN"/>
        </w:rPr>
        <w:t>(注：超过最高限价的报价视为无效报价)</w:t>
      </w:r>
    </w:p>
    <w:p>
      <w:pP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pacing w:val="10"/>
          <w:sz w:val="24"/>
          <w:szCs w:val="24"/>
          <w:lang w:val="en-US" w:eastAsia="zh-CN"/>
        </w:rPr>
        <w:t>商务、技术联系人及电话：谢磊18547253525</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分项报价格式：名称、单位、数量由项目单位填报，以实际发生数量，据实结算。</w:t>
      </w:r>
    </w:p>
    <w:tbl>
      <w:tblPr>
        <w:tblStyle w:val="7"/>
        <w:tblW w:w="93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8"/>
        <w:gridCol w:w="1621"/>
        <w:gridCol w:w="1035"/>
        <w:gridCol w:w="1328"/>
        <w:gridCol w:w="1328"/>
        <w:gridCol w:w="1328"/>
        <w:gridCol w:w="13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328" w:type="dxa"/>
            <w:vAlign w:val="center"/>
          </w:tcPr>
          <w:p>
            <w:pPr>
              <w:jc w:val="center"/>
              <w:rPr>
                <w:rFonts w:hint="eastAsia" w:ascii="仿宋" w:hAnsi="仿宋" w:eastAsia="仿宋" w:cs="仿宋"/>
                <w:vertAlign w:val="baseline"/>
                <w:lang w:eastAsia="zh-CN"/>
              </w:rPr>
            </w:pPr>
            <w:bookmarkStart w:id="0" w:name="_GoBack"/>
            <w:r>
              <w:rPr>
                <w:rFonts w:hint="eastAsia" w:ascii="仿宋" w:hAnsi="仿宋" w:eastAsia="仿宋" w:cs="仿宋"/>
                <w:vertAlign w:val="baseline"/>
                <w:lang w:eastAsia="zh-CN"/>
              </w:rPr>
              <w:t>序号</w:t>
            </w:r>
          </w:p>
        </w:tc>
        <w:tc>
          <w:tcPr>
            <w:tcW w:w="1621" w:type="dxa"/>
            <w:vAlign w:val="center"/>
          </w:tcPr>
          <w:p>
            <w:pPr>
              <w:jc w:val="center"/>
              <w:rPr>
                <w:rFonts w:hint="eastAsia" w:ascii="仿宋" w:hAnsi="仿宋" w:eastAsia="仿宋" w:cs="仿宋"/>
                <w:vertAlign w:val="baseline"/>
                <w:lang w:eastAsia="zh-CN"/>
              </w:rPr>
            </w:pPr>
            <w:r>
              <w:rPr>
                <w:rFonts w:hint="eastAsia" w:ascii="仿宋" w:hAnsi="仿宋" w:eastAsia="仿宋" w:cs="仿宋"/>
                <w:vertAlign w:val="baseline"/>
                <w:lang w:eastAsia="zh-CN"/>
              </w:rPr>
              <w:t>名称</w:t>
            </w:r>
          </w:p>
        </w:tc>
        <w:tc>
          <w:tcPr>
            <w:tcW w:w="1035" w:type="dxa"/>
            <w:vAlign w:val="center"/>
          </w:tcPr>
          <w:p>
            <w:pPr>
              <w:jc w:val="center"/>
              <w:rPr>
                <w:rFonts w:hint="eastAsia" w:ascii="仿宋" w:hAnsi="仿宋" w:eastAsia="仿宋" w:cs="仿宋"/>
                <w:vertAlign w:val="baseline"/>
                <w:lang w:eastAsia="zh-CN"/>
              </w:rPr>
            </w:pPr>
            <w:r>
              <w:rPr>
                <w:rFonts w:hint="eastAsia" w:ascii="仿宋" w:hAnsi="仿宋" w:eastAsia="仿宋" w:cs="仿宋"/>
                <w:vertAlign w:val="baseline"/>
                <w:lang w:eastAsia="zh-CN"/>
              </w:rPr>
              <w:t>单位</w:t>
            </w:r>
          </w:p>
        </w:tc>
        <w:tc>
          <w:tcPr>
            <w:tcW w:w="1328" w:type="dxa"/>
            <w:vAlign w:val="center"/>
          </w:tcPr>
          <w:p>
            <w:pPr>
              <w:jc w:val="center"/>
              <w:rPr>
                <w:rFonts w:hint="eastAsia" w:ascii="仿宋" w:hAnsi="仿宋" w:eastAsia="仿宋" w:cs="仿宋"/>
                <w:vertAlign w:val="baseline"/>
                <w:lang w:eastAsia="zh-CN"/>
              </w:rPr>
            </w:pPr>
            <w:r>
              <w:rPr>
                <w:rFonts w:hint="eastAsia" w:ascii="仿宋" w:hAnsi="仿宋" w:eastAsia="仿宋" w:cs="仿宋"/>
                <w:vertAlign w:val="baseline"/>
                <w:lang w:eastAsia="zh-CN"/>
              </w:rPr>
              <w:t>数量</w:t>
            </w:r>
          </w:p>
        </w:tc>
        <w:tc>
          <w:tcPr>
            <w:tcW w:w="1328" w:type="dxa"/>
            <w:vAlign w:val="center"/>
          </w:tcPr>
          <w:p>
            <w:pPr>
              <w:jc w:val="center"/>
              <w:rPr>
                <w:rFonts w:hint="eastAsia" w:ascii="仿宋" w:hAnsi="仿宋" w:eastAsia="仿宋" w:cs="仿宋"/>
                <w:vertAlign w:val="baseline"/>
                <w:lang w:eastAsia="zh-CN"/>
              </w:rPr>
            </w:pPr>
            <w:r>
              <w:rPr>
                <w:rFonts w:hint="eastAsia" w:ascii="仿宋" w:hAnsi="仿宋" w:eastAsia="仿宋" w:cs="仿宋"/>
                <w:vertAlign w:val="baseline"/>
                <w:lang w:eastAsia="zh-CN"/>
              </w:rPr>
              <w:t>单价（元）</w:t>
            </w:r>
          </w:p>
        </w:tc>
        <w:tc>
          <w:tcPr>
            <w:tcW w:w="1328" w:type="dxa"/>
            <w:vAlign w:val="center"/>
          </w:tcPr>
          <w:p>
            <w:pPr>
              <w:jc w:val="center"/>
              <w:rPr>
                <w:rFonts w:hint="eastAsia" w:ascii="仿宋" w:hAnsi="仿宋" w:eastAsia="仿宋" w:cs="仿宋"/>
                <w:vertAlign w:val="baseline"/>
                <w:lang w:eastAsia="zh-CN"/>
              </w:rPr>
            </w:pPr>
            <w:r>
              <w:rPr>
                <w:rFonts w:hint="eastAsia" w:ascii="仿宋" w:hAnsi="仿宋" w:eastAsia="仿宋" w:cs="仿宋"/>
                <w:vertAlign w:val="baseline"/>
                <w:lang w:eastAsia="zh-CN"/>
              </w:rPr>
              <w:t>总价（元）</w:t>
            </w:r>
          </w:p>
        </w:tc>
        <w:tc>
          <w:tcPr>
            <w:tcW w:w="1333" w:type="dxa"/>
            <w:vAlign w:val="center"/>
          </w:tcPr>
          <w:p>
            <w:pPr>
              <w:jc w:val="center"/>
              <w:rPr>
                <w:rFonts w:hint="eastAsia" w:ascii="仿宋" w:hAnsi="仿宋" w:eastAsia="仿宋" w:cs="仿宋"/>
                <w:vertAlign w:val="baseline"/>
                <w:lang w:eastAsia="zh-CN"/>
              </w:rPr>
            </w:pPr>
            <w:r>
              <w:rPr>
                <w:rFonts w:hint="eastAsia" w:ascii="仿宋" w:hAnsi="仿宋" w:eastAsia="仿宋" w:cs="仿宋"/>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8" w:type="dxa"/>
            <w:vAlign w:val="center"/>
          </w:tcPr>
          <w:p>
            <w:pPr>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1</w:t>
            </w:r>
          </w:p>
        </w:tc>
        <w:tc>
          <w:tcPr>
            <w:tcW w:w="1621" w:type="dxa"/>
            <w:vAlign w:val="center"/>
          </w:tcPr>
          <w:p>
            <w:pPr>
              <w:jc w:val="center"/>
              <w:rPr>
                <w:rFonts w:hint="eastAsia" w:ascii="仿宋" w:hAnsi="仿宋" w:eastAsia="仿宋" w:cs="仿宋"/>
                <w:vertAlign w:val="baseline"/>
                <w:lang w:val="en-US" w:eastAsia="zh-CN"/>
              </w:rPr>
            </w:pPr>
            <w:r>
              <w:rPr>
                <w:rFonts w:hint="eastAsia" w:ascii="仿宋" w:hAnsi="仿宋" w:eastAsia="仿宋" w:cs="仿宋"/>
                <w:vertAlign w:val="baseline"/>
                <w:lang w:val="zh-CN" w:eastAsia="zh-CN"/>
              </w:rPr>
              <w:t>锅炉磨煤机传动轴修理</w:t>
            </w:r>
          </w:p>
        </w:tc>
        <w:tc>
          <w:tcPr>
            <w:tcW w:w="1035" w:type="dxa"/>
            <w:vAlign w:val="center"/>
          </w:tcPr>
          <w:p>
            <w:pPr>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台</w:t>
            </w:r>
          </w:p>
        </w:tc>
        <w:tc>
          <w:tcPr>
            <w:tcW w:w="1328" w:type="dxa"/>
            <w:vAlign w:val="center"/>
          </w:tcPr>
          <w:p>
            <w:pPr>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3</w:t>
            </w:r>
          </w:p>
        </w:tc>
        <w:tc>
          <w:tcPr>
            <w:tcW w:w="1328" w:type="dxa"/>
            <w:vAlign w:val="center"/>
          </w:tcPr>
          <w:p>
            <w:pPr>
              <w:jc w:val="center"/>
              <w:rPr>
                <w:rFonts w:hint="eastAsia" w:ascii="仿宋" w:hAnsi="仿宋" w:eastAsia="仿宋" w:cs="仿宋"/>
                <w:vertAlign w:val="baseline"/>
              </w:rPr>
            </w:pPr>
          </w:p>
        </w:tc>
        <w:tc>
          <w:tcPr>
            <w:tcW w:w="1328" w:type="dxa"/>
            <w:vAlign w:val="center"/>
          </w:tcPr>
          <w:p>
            <w:pPr>
              <w:jc w:val="center"/>
              <w:rPr>
                <w:rFonts w:hint="eastAsia" w:ascii="仿宋" w:hAnsi="仿宋" w:eastAsia="仿宋" w:cs="仿宋"/>
                <w:vertAlign w:val="baseline"/>
              </w:rPr>
            </w:pPr>
          </w:p>
        </w:tc>
        <w:tc>
          <w:tcPr>
            <w:tcW w:w="1333" w:type="dxa"/>
            <w:vAlign w:val="center"/>
          </w:tcPr>
          <w:p>
            <w:pPr>
              <w:jc w:val="center"/>
              <w:rPr>
                <w:rFonts w:hint="eastAsia" w:ascii="仿宋" w:hAnsi="仿宋" w:eastAsia="仿宋" w:cs="仿宋"/>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328" w:type="dxa"/>
            <w:vAlign w:val="center"/>
          </w:tcPr>
          <w:p>
            <w:pPr>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 xml:space="preserve"> </w:t>
            </w:r>
          </w:p>
        </w:tc>
        <w:tc>
          <w:tcPr>
            <w:tcW w:w="1621" w:type="dxa"/>
            <w:vAlign w:val="center"/>
          </w:tcPr>
          <w:p>
            <w:pPr>
              <w:jc w:val="center"/>
              <w:rPr>
                <w:rFonts w:hint="eastAsia" w:ascii="仿宋" w:hAnsi="仿宋" w:eastAsia="仿宋" w:cs="仿宋"/>
                <w:vertAlign w:val="baseline"/>
                <w:lang w:eastAsia="zh-CN"/>
              </w:rPr>
            </w:pPr>
            <w:r>
              <w:rPr>
                <w:rFonts w:hint="eastAsia" w:ascii="仿宋" w:hAnsi="仿宋" w:eastAsia="仿宋" w:cs="仿宋"/>
                <w:vertAlign w:val="baseline"/>
                <w:lang w:val="en-US" w:eastAsia="zh-CN"/>
              </w:rPr>
              <w:t xml:space="preserve"> 合计</w:t>
            </w:r>
          </w:p>
        </w:tc>
        <w:tc>
          <w:tcPr>
            <w:tcW w:w="1035" w:type="dxa"/>
            <w:vAlign w:val="center"/>
          </w:tcPr>
          <w:p>
            <w:pPr>
              <w:jc w:val="center"/>
              <w:rPr>
                <w:rFonts w:hint="eastAsia" w:ascii="仿宋" w:hAnsi="仿宋" w:eastAsia="仿宋" w:cs="仿宋"/>
                <w:vertAlign w:val="baseline"/>
                <w:lang w:eastAsia="zh-CN"/>
              </w:rPr>
            </w:pPr>
          </w:p>
        </w:tc>
        <w:tc>
          <w:tcPr>
            <w:tcW w:w="1328" w:type="dxa"/>
            <w:vAlign w:val="center"/>
          </w:tcPr>
          <w:p>
            <w:pPr>
              <w:jc w:val="center"/>
              <w:rPr>
                <w:rFonts w:hint="eastAsia" w:ascii="仿宋" w:hAnsi="仿宋" w:eastAsia="仿宋" w:cs="仿宋"/>
                <w:vertAlign w:val="baseline"/>
                <w:lang w:val="en-US" w:eastAsia="zh-CN"/>
              </w:rPr>
            </w:pPr>
          </w:p>
        </w:tc>
        <w:tc>
          <w:tcPr>
            <w:tcW w:w="1328" w:type="dxa"/>
            <w:vAlign w:val="center"/>
          </w:tcPr>
          <w:p>
            <w:pPr>
              <w:jc w:val="center"/>
              <w:rPr>
                <w:rFonts w:hint="eastAsia" w:ascii="仿宋" w:hAnsi="仿宋" w:eastAsia="仿宋" w:cs="仿宋"/>
                <w:vertAlign w:val="baseline"/>
              </w:rPr>
            </w:pPr>
          </w:p>
        </w:tc>
        <w:tc>
          <w:tcPr>
            <w:tcW w:w="1328" w:type="dxa"/>
            <w:vAlign w:val="center"/>
          </w:tcPr>
          <w:p>
            <w:pPr>
              <w:jc w:val="center"/>
              <w:rPr>
                <w:rFonts w:hint="eastAsia" w:ascii="仿宋" w:hAnsi="仿宋" w:eastAsia="仿宋" w:cs="仿宋"/>
                <w:vertAlign w:val="baseline"/>
              </w:rPr>
            </w:pPr>
          </w:p>
        </w:tc>
        <w:tc>
          <w:tcPr>
            <w:tcW w:w="1333" w:type="dxa"/>
            <w:vAlign w:val="center"/>
          </w:tcPr>
          <w:p>
            <w:pPr>
              <w:jc w:val="center"/>
              <w:rPr>
                <w:rFonts w:hint="eastAsia" w:ascii="仿宋" w:hAnsi="仿宋" w:eastAsia="仿宋" w:cs="仿宋"/>
                <w:vertAlign w:val="baseline"/>
                <w:lang w:eastAsia="zh-CN"/>
              </w:rPr>
            </w:pPr>
          </w:p>
        </w:tc>
      </w:tr>
      <w:bookmarkEnd w:id="0"/>
    </w:tbl>
    <w:p>
      <w:pPr>
        <w:pageBreakBefore w:val="0"/>
        <w:widowControl w:val="0"/>
        <w:numPr>
          <w:ilvl w:val="0"/>
          <w:numId w:val="0"/>
        </w:numPr>
        <w:kinsoku/>
        <w:wordWrap/>
        <w:overflowPunct/>
        <w:topLinePunct w:val="0"/>
        <w:bidi w:val="0"/>
        <w:snapToGrid/>
        <w:spacing w:line="360" w:lineRule="auto"/>
        <w:rPr>
          <w:rFonts w:hint="eastAsia" w:ascii="仿宋_GB2312" w:hAnsi="仿宋_GB2312" w:eastAsia="仿宋_GB2312" w:cs="仿宋_GB2312"/>
          <w:b/>
          <w:bCs w:val="0"/>
          <w:sz w:val="24"/>
          <w:szCs w:val="24"/>
          <w:lang w:val="en-US" w:eastAsia="zh-CN"/>
        </w:rPr>
      </w:pPr>
    </w:p>
    <w:p>
      <w:pPr>
        <w:pStyle w:val="9"/>
        <w:pageBreakBefore w:val="0"/>
        <w:widowControl w:val="0"/>
        <w:kinsoku/>
        <w:wordWrap/>
        <w:overflowPunct/>
        <w:topLinePunct w:val="0"/>
        <w:bidi w:val="0"/>
        <w:snapToGrid/>
        <w:spacing w:line="360" w:lineRule="auto"/>
        <w:ind w:left="0" w:leftChars="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注：</w:t>
      </w:r>
    </w:p>
    <w:p>
      <w:pPr>
        <w:pStyle w:val="9"/>
        <w:pageBreakBefore w:val="0"/>
        <w:widowControl w:val="0"/>
        <w:numPr>
          <w:ilvl w:val="0"/>
          <w:numId w:val="1"/>
        </w:numPr>
        <w:kinsoku/>
        <w:wordWrap/>
        <w:overflowPunct/>
        <w:topLinePunct w:val="0"/>
        <w:bidi w:val="0"/>
        <w:snapToGrid/>
        <w:spacing w:line="360" w:lineRule="auto"/>
        <w:ind w:left="0" w:leftChars="0"/>
        <w:jc w:val="both"/>
        <w:rPr>
          <w:rFonts w:hint="eastAsia" w:ascii="仿宋_GB2312" w:hAnsi="仿宋_GB2312" w:eastAsia="仿宋_GB2312" w:cs="仿宋_GB2312"/>
          <w:b/>
          <w:bCs w:val="0"/>
          <w:sz w:val="24"/>
          <w:szCs w:val="24"/>
        </w:rPr>
      </w:pPr>
      <w:r>
        <w:rPr>
          <w:rFonts w:hint="eastAsia" w:ascii="仿宋_GB2312" w:hAnsi="仿宋_GB2312" w:eastAsia="仿宋_GB2312" w:cs="仿宋_GB2312"/>
          <w:b/>
          <w:bCs w:val="0"/>
          <w:sz w:val="24"/>
          <w:szCs w:val="24"/>
          <w:lang w:val="en-US" w:eastAsia="zh-CN"/>
        </w:rPr>
        <w:t>本项目采用一票制结算，报价含9%增值税</w:t>
      </w:r>
      <w:r>
        <w:rPr>
          <w:rFonts w:hint="eastAsia" w:ascii="仿宋_GB2312" w:hAnsi="仿宋_GB2312" w:eastAsia="仿宋_GB2312" w:cs="仿宋_GB2312"/>
          <w:b/>
          <w:bCs w:val="0"/>
          <w:sz w:val="24"/>
          <w:szCs w:val="24"/>
        </w:rPr>
        <w:t>。</w:t>
      </w:r>
    </w:p>
    <w:p>
      <w:pPr>
        <w:pStyle w:val="9"/>
        <w:pageBreakBefore w:val="0"/>
        <w:widowControl w:val="0"/>
        <w:numPr>
          <w:ilvl w:val="0"/>
          <w:numId w:val="1"/>
        </w:numPr>
        <w:kinsoku/>
        <w:wordWrap/>
        <w:overflowPunct/>
        <w:topLinePunct w:val="0"/>
        <w:bidi w:val="0"/>
        <w:snapToGrid/>
        <w:spacing w:line="360" w:lineRule="auto"/>
        <w:ind w:left="0" w:leftChars="0"/>
        <w:jc w:val="both"/>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lang w:val="en-US" w:eastAsia="zh-CN"/>
        </w:rPr>
        <w:t>分项报价表需报价单位法人（或法人授权委托人）签字盖公章，并标注联系人及电话。</w:t>
      </w:r>
    </w:p>
    <w:p>
      <w:pPr>
        <w:pStyle w:val="9"/>
        <w:pageBreakBefore w:val="0"/>
        <w:widowControl w:val="0"/>
        <w:numPr>
          <w:ilvl w:val="0"/>
          <w:numId w:val="1"/>
        </w:numPr>
        <w:kinsoku/>
        <w:wordWrap/>
        <w:overflowPunct/>
        <w:topLinePunct w:val="0"/>
        <w:bidi w:val="0"/>
        <w:snapToGrid/>
        <w:spacing w:line="360" w:lineRule="auto"/>
        <w:ind w:left="0" w:leftChars="0"/>
        <w:jc w:val="both"/>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napToGrid w:val="0"/>
          <w:color w:val="000000"/>
          <w:kern w:val="0"/>
          <w:sz w:val="24"/>
          <w:szCs w:val="24"/>
          <w:lang w:val="en-US" w:eastAsia="zh-CN"/>
        </w:rPr>
        <w:t>分项报价</w:t>
      </w:r>
      <w:r>
        <w:rPr>
          <w:rFonts w:hint="eastAsia" w:ascii="仿宋_GB2312" w:hAnsi="仿宋_GB2312" w:eastAsia="仿宋_GB2312" w:cs="仿宋_GB2312"/>
          <w:b/>
          <w:bCs w:val="0"/>
          <w:snapToGrid w:val="0"/>
          <w:color w:val="000000"/>
          <w:kern w:val="0"/>
          <w:sz w:val="24"/>
          <w:szCs w:val="24"/>
        </w:rPr>
        <w:t>若单价和总价</w:t>
      </w:r>
      <w:r>
        <w:rPr>
          <w:rFonts w:hint="eastAsia" w:ascii="仿宋_GB2312" w:hAnsi="仿宋_GB2312" w:eastAsia="仿宋_GB2312" w:cs="仿宋_GB2312"/>
          <w:b/>
          <w:bCs w:val="0"/>
          <w:snapToGrid w:val="0"/>
          <w:color w:val="000000"/>
          <w:kern w:val="0"/>
          <w:sz w:val="24"/>
          <w:szCs w:val="24"/>
          <w:lang w:eastAsia="zh-CN"/>
        </w:rPr>
        <w:t>以及华电集团电子商平台报价系统内报价</w:t>
      </w:r>
      <w:r>
        <w:rPr>
          <w:rFonts w:hint="eastAsia" w:ascii="仿宋_GB2312" w:hAnsi="仿宋_GB2312" w:eastAsia="仿宋_GB2312" w:cs="仿宋_GB2312"/>
          <w:b/>
          <w:bCs w:val="0"/>
          <w:snapToGrid w:val="0"/>
          <w:color w:val="000000"/>
          <w:kern w:val="0"/>
          <w:sz w:val="24"/>
          <w:szCs w:val="24"/>
        </w:rPr>
        <w:t>有差异，则以单价为准，并对总价</w:t>
      </w:r>
      <w:r>
        <w:rPr>
          <w:rFonts w:hint="eastAsia" w:ascii="仿宋_GB2312" w:hAnsi="仿宋_GB2312" w:eastAsia="仿宋_GB2312" w:cs="仿宋_GB2312"/>
          <w:b/>
          <w:bCs w:val="0"/>
          <w:snapToGrid w:val="0"/>
          <w:color w:val="000000"/>
          <w:kern w:val="0"/>
          <w:sz w:val="24"/>
          <w:szCs w:val="24"/>
          <w:lang w:eastAsia="zh-CN"/>
        </w:rPr>
        <w:t>及华电集团电子商平台报价系统内报价</w:t>
      </w:r>
      <w:r>
        <w:rPr>
          <w:rFonts w:hint="eastAsia" w:ascii="仿宋_GB2312" w:hAnsi="仿宋_GB2312" w:eastAsia="仿宋_GB2312" w:cs="仿宋_GB2312"/>
          <w:b/>
          <w:bCs w:val="0"/>
          <w:snapToGrid w:val="0"/>
          <w:color w:val="000000"/>
          <w:kern w:val="0"/>
          <w:sz w:val="24"/>
          <w:szCs w:val="24"/>
        </w:rPr>
        <w:t>进行修正，但如果单价有明显的小数点错位，则应以标出的总额为准，并修改单价；若数字和文字表示的金额之间有差异，则以文字表示的大写金额为准，并对数字作相应的修正。若在</w:t>
      </w:r>
      <w:r>
        <w:rPr>
          <w:rFonts w:hint="eastAsia" w:ascii="仿宋_GB2312" w:hAnsi="仿宋_GB2312" w:eastAsia="仿宋_GB2312" w:cs="仿宋_GB2312"/>
          <w:b/>
          <w:bCs w:val="0"/>
          <w:snapToGrid w:val="0"/>
          <w:color w:val="000000"/>
          <w:kern w:val="0"/>
          <w:sz w:val="24"/>
          <w:szCs w:val="24"/>
          <w:lang w:eastAsia="zh-CN"/>
        </w:rPr>
        <w:t>分项</w:t>
      </w:r>
      <w:r>
        <w:rPr>
          <w:rFonts w:hint="eastAsia" w:ascii="仿宋_GB2312" w:hAnsi="仿宋_GB2312" w:eastAsia="仿宋_GB2312" w:cs="仿宋_GB2312"/>
          <w:b/>
          <w:bCs w:val="0"/>
          <w:snapToGrid w:val="0"/>
          <w:color w:val="000000"/>
          <w:kern w:val="0"/>
          <w:sz w:val="24"/>
          <w:szCs w:val="24"/>
        </w:rPr>
        <w:t>报价中有两个以上的报价且未明确哪个报价有效，将被视为无效报价，但按</w:t>
      </w:r>
      <w:r>
        <w:rPr>
          <w:rFonts w:hint="eastAsia" w:ascii="仿宋_GB2312" w:hAnsi="仿宋_GB2312" w:eastAsia="仿宋_GB2312" w:cs="仿宋_GB2312"/>
          <w:b/>
          <w:bCs w:val="0"/>
          <w:snapToGrid w:val="0"/>
          <w:color w:val="000000"/>
          <w:kern w:val="0"/>
          <w:sz w:val="24"/>
          <w:szCs w:val="24"/>
          <w:lang w:eastAsia="zh-CN"/>
        </w:rPr>
        <w:t>采购</w:t>
      </w:r>
      <w:r>
        <w:rPr>
          <w:rFonts w:hint="eastAsia" w:ascii="仿宋_GB2312" w:hAnsi="仿宋_GB2312" w:eastAsia="仿宋_GB2312" w:cs="仿宋_GB2312"/>
          <w:b/>
          <w:bCs w:val="0"/>
          <w:snapToGrid w:val="0"/>
          <w:color w:val="000000"/>
          <w:kern w:val="0"/>
          <w:sz w:val="24"/>
          <w:szCs w:val="24"/>
        </w:rPr>
        <w:t>文件规定提交备选方案的除外。</w:t>
      </w:r>
    </w:p>
    <w:p>
      <w:pPr>
        <w:pStyle w:val="9"/>
        <w:pageBreakBefore w:val="0"/>
        <w:widowControl w:val="0"/>
        <w:numPr>
          <w:ilvl w:val="0"/>
          <w:numId w:val="1"/>
        </w:numPr>
        <w:kinsoku/>
        <w:wordWrap/>
        <w:overflowPunct/>
        <w:topLinePunct w:val="0"/>
        <w:bidi w:val="0"/>
        <w:snapToGrid/>
        <w:spacing w:line="360" w:lineRule="auto"/>
        <w:ind w:left="0" w:leftChars="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highlight w:val="none"/>
          <w:lang w:val="en-US" w:eastAsia="zh-CN"/>
        </w:rPr>
        <w:t>分项报价工程量不可调减，调增可以补充并在报价中明确标注。</w:t>
      </w:r>
    </w:p>
    <w:p>
      <w:pPr>
        <w:pStyle w:val="9"/>
        <w:pageBreakBefore w:val="0"/>
        <w:widowControl w:val="0"/>
        <w:numPr>
          <w:ilvl w:val="0"/>
          <w:numId w:val="1"/>
        </w:numPr>
        <w:kinsoku/>
        <w:wordWrap/>
        <w:overflowPunct/>
        <w:topLinePunct w:val="0"/>
        <w:bidi w:val="0"/>
        <w:snapToGrid/>
        <w:spacing w:line="360" w:lineRule="auto"/>
        <w:ind w:left="0" w:leftChars="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highlight w:val="none"/>
          <w:lang w:val="en-US" w:eastAsia="zh-CN"/>
        </w:rPr>
        <w:t>分项报价工程量子项不可删减，如有增项可以补充并在报价中明确标注。</w:t>
      </w:r>
    </w:p>
    <w:p>
      <w:pPr>
        <w:pStyle w:val="9"/>
        <w:pageBreakBefore w:val="0"/>
        <w:widowControl w:val="0"/>
        <w:numPr>
          <w:ilvl w:val="0"/>
          <w:numId w:val="1"/>
        </w:numPr>
        <w:kinsoku/>
        <w:wordWrap/>
        <w:overflowPunct/>
        <w:topLinePunct w:val="0"/>
        <w:bidi w:val="0"/>
        <w:snapToGrid/>
        <w:spacing w:line="360" w:lineRule="auto"/>
        <w:ind w:left="0" w:leftChars="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highlight w:val="none"/>
          <w:lang w:val="en-US" w:eastAsia="zh-CN"/>
        </w:rPr>
        <w:t>由于采购人在技术服务期间因系统或设备无法停运，所以报价单位在报价时应充分考虑，技术服务期间因系统或设备无法停运对工程造成的影响或增加的临时措施，报价单位如需价格补偿应在报价表中明确标注。如报价单位未填报则视为因系统或设备无法停运对技术服务无影响，今后因系统或设备无法停运对技术服务的影响造成的后果采购人不承担任何责任及赔偿。</w:t>
      </w:r>
    </w:p>
    <w:p>
      <w:pPr>
        <w:pStyle w:val="9"/>
        <w:pageBreakBefore w:val="0"/>
        <w:widowControl w:val="0"/>
        <w:numPr>
          <w:ilvl w:val="0"/>
          <w:numId w:val="0"/>
        </w:numPr>
        <w:kinsoku/>
        <w:wordWrap/>
        <w:overflowPunct/>
        <w:topLinePunct w:val="0"/>
        <w:bidi w:val="0"/>
        <w:snapToGrid/>
        <w:spacing w:line="360" w:lineRule="auto"/>
        <w:jc w:val="both"/>
        <w:rPr>
          <w:rFonts w:hint="eastAsia" w:ascii="仿宋_GB2312" w:hAnsi="仿宋_GB2312" w:eastAsia="仿宋_GB2312" w:cs="仿宋_GB2312"/>
          <w:b w:val="0"/>
          <w:bCs/>
          <w:sz w:val="24"/>
          <w:szCs w:val="24"/>
        </w:rPr>
      </w:pPr>
    </w:p>
    <w:p>
      <w:pPr>
        <w:rPr>
          <w:rFonts w:hint="eastAsia" w:ascii="仿宋_GB2312" w:hAnsi="仿宋_GB2312" w:eastAsia="仿宋_GB2312" w:cs="仿宋_GB2312"/>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464EF7"/>
    <w:multiLevelType w:val="singleLevel"/>
    <w:tmpl w:val="9B464EF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NTlhY2MyMjRhN2I0OTE1YzZjZWFhZmU2ZDBkYWIifQ=="/>
  </w:docVars>
  <w:rsids>
    <w:rsidRoot w:val="00172A27"/>
    <w:rsid w:val="01E73A14"/>
    <w:rsid w:val="02A4601F"/>
    <w:rsid w:val="02AB5B39"/>
    <w:rsid w:val="09F647DF"/>
    <w:rsid w:val="0AEF7CBE"/>
    <w:rsid w:val="0B317C40"/>
    <w:rsid w:val="0C455BD1"/>
    <w:rsid w:val="0CB94800"/>
    <w:rsid w:val="150E7C95"/>
    <w:rsid w:val="16EF0B7E"/>
    <w:rsid w:val="181263B8"/>
    <w:rsid w:val="18261921"/>
    <w:rsid w:val="1AB14E50"/>
    <w:rsid w:val="1D506A5E"/>
    <w:rsid w:val="1E8B3FFB"/>
    <w:rsid w:val="200D6865"/>
    <w:rsid w:val="237B433F"/>
    <w:rsid w:val="24D161D1"/>
    <w:rsid w:val="2A746338"/>
    <w:rsid w:val="2BD50ADB"/>
    <w:rsid w:val="2F650E58"/>
    <w:rsid w:val="334C3B2F"/>
    <w:rsid w:val="3EF577D5"/>
    <w:rsid w:val="3F203ACC"/>
    <w:rsid w:val="488B2CB0"/>
    <w:rsid w:val="4F914D27"/>
    <w:rsid w:val="53311D12"/>
    <w:rsid w:val="55992E9F"/>
    <w:rsid w:val="57A478B7"/>
    <w:rsid w:val="5C3F5C2B"/>
    <w:rsid w:val="5DC25FA8"/>
    <w:rsid w:val="5EF15A91"/>
    <w:rsid w:val="616434B3"/>
    <w:rsid w:val="62E0488F"/>
    <w:rsid w:val="6D7306C0"/>
    <w:rsid w:val="6FE134CB"/>
    <w:rsid w:val="70230C0B"/>
    <w:rsid w:val="740B7BFF"/>
    <w:rsid w:val="76104F10"/>
    <w:rsid w:val="776F42E7"/>
    <w:rsid w:val="77C627D4"/>
    <w:rsid w:val="79CF0565"/>
    <w:rsid w:val="7E6A467A"/>
    <w:rsid w:val="7F3D3EDA"/>
    <w:rsid w:val="7F745EA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ind w:firstLine="420" w:firstLineChars="200"/>
      <w:jc w:val="both"/>
    </w:pPr>
    <w:rPr>
      <w:rFonts w:ascii="Times New Roman" w:hAnsi="Times New Roman" w:eastAsia="宋体" w:cs="Times New Roman"/>
      <w:kern w:val="2"/>
      <w:sz w:val="21"/>
      <w:szCs w:val="24"/>
      <w:lang w:val="en-US" w:eastAsia="zh-CN" w:bidi="ar-SA"/>
    </w:rPr>
  </w:style>
  <w:style w:type="paragraph" w:styleId="3">
    <w:name w:val="toa heading"/>
    <w:basedOn w:val="1"/>
    <w:next w:val="1"/>
    <w:qFormat/>
    <w:uiPriority w:val="0"/>
    <w:pPr>
      <w:spacing w:before="120" w:beforeLines="0"/>
    </w:pPr>
    <w:rPr>
      <w:rFonts w:ascii="Arial" w:hAnsi="Arial" w:cs="Arial"/>
      <w:sz w:val="24"/>
      <w:szCs w:val="24"/>
    </w:rPr>
  </w:style>
  <w:style w:type="paragraph" w:styleId="4">
    <w:name w:val="Plain Text"/>
    <w:basedOn w:val="1"/>
    <w:qFormat/>
    <w:uiPriority w:val="0"/>
    <w:rPr>
      <w:rFonts w:ascii="宋体" w:hAnsi="Courier New" w:eastAsia="宋体" w:cs="Courier New"/>
      <w:kern w:val="2"/>
      <w:sz w:val="21"/>
      <w:szCs w:val="21"/>
      <w:lang w:val="en-US" w:eastAsia="zh-CN" w:bidi="ar-SA"/>
    </w:rPr>
  </w:style>
  <w:style w:type="paragraph" w:styleId="5">
    <w:name w:val="footer"/>
    <w:basedOn w:val="1"/>
    <w:qFormat/>
    <w:uiPriority w:val="0"/>
    <w:pPr>
      <w:tabs>
        <w:tab w:val="center" w:pos="4153"/>
        <w:tab w:val="right" w:pos="8306"/>
      </w:tabs>
      <w:snapToGrid w:val="0"/>
      <w:jc w:val="left"/>
    </w:pPr>
    <w:rPr>
      <w:rFonts w:ascii="Times New Roman" w:hAnsi="Times New Roman" w:eastAsia="宋体" w:cs="Times New Roman"/>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character" w:customStyle="1" w:styleId="10">
    <w:name w:val="NormalCharact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924</Words>
  <Characters>966</Characters>
  <Lines>0</Lines>
  <Paragraphs>0</Paragraphs>
  <TotalTime>3</TotalTime>
  <ScaleCrop>false</ScaleCrop>
  <LinksUpToDate>false</LinksUpToDate>
  <CharactersWithSpaces>973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dc:creator>
  <cp:lastModifiedBy>50S</cp:lastModifiedBy>
  <dcterms:modified xsi:type="dcterms:W3CDTF">2023-04-06T07:52:46Z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BB52FE6B4D164FFA8DA7D6F37866A65A</vt:lpwstr>
  </property>
</Properties>
</file>